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0" w:line="276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Términos de Referencia</w:t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Auditoria a Estados Financieros del periodo fiscal 2025</w:t>
      </w:r>
    </w:p>
    <w:p w:rsidR="00000000" w:rsidDel="00000000" w:rsidP="00000000" w:rsidRDefault="00000000" w:rsidRPr="00000000" w14:paraId="00000003">
      <w:pPr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Visibles es una organización no gubernamental fundada en 2018, cuyo propósito es la defensa de los derechos de las personas lesbianas, gays, bisexuales, trans, intersexuales y queer (LGBTIQ+), así como la promoción de su reconocimiento e inclusión plena en la sociedad guatemalteca.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Dentro de su Plan Estratégico 2022–2025, uno de los ejes prioritarios es el fortalecimiento de las capacidades técnicas, estratégicas y políticas de su equipo ejecutor, con el fin de impulsar procesos de empoderamiento y autonomía, mejorar la formulación de proyectos y visibilizar el impacto de sus acciones en la ruta hacia la inclusión efectiva de las personas LGBTIQ+ en Guatemala.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 través de sus áreas de administración, gestión de proyectos, incidencia política, litigio estratégico y comunicación, Visibles articula esfuerzos para incidir en la opinión pública, generar alianzas con organizaciones y comunidades, y promover acciones concretas orientadas a la garantía de los derechos de las personas LGBTIQ+ en el país.</w:t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Objetivo General</w:t>
      </w:r>
    </w:p>
    <w:p w:rsidR="00000000" w:rsidDel="00000000" w:rsidP="00000000" w:rsidRDefault="00000000" w:rsidRPr="00000000" w14:paraId="00000008">
      <w:pPr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Proveer servicios técnicos profesionales para realizar el ejercicio de auditoría a los Estados financieros institucionales correspondientes al periodo fiscal 2025 y al área de cumplimiento de LD/FT del mismo periodo fiscal.</w:t>
      </w:r>
    </w:p>
    <w:p w:rsidR="00000000" w:rsidDel="00000000" w:rsidP="00000000" w:rsidRDefault="00000000" w:rsidRPr="00000000" w14:paraId="0000000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Formación y actitudes deseables</w:t>
      </w:r>
    </w:p>
    <w:p w:rsidR="00000000" w:rsidDel="00000000" w:rsidP="00000000" w:rsidRDefault="00000000" w:rsidRPr="00000000" w14:paraId="0000000B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Debe cumplir con los siguientes requisitos:</w:t>
      </w:r>
    </w:p>
    <w:p w:rsidR="00000000" w:rsidDel="00000000" w:rsidP="00000000" w:rsidRDefault="00000000" w:rsidRPr="00000000" w14:paraId="0000000C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Profesional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graduado como Contador Público y Auditor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 colegiado activo.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Experiencia en auditorías a organizaciones no gubernamentales.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Disponibilidad y compromiso para cumplir con las fechas esperadas.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Disponibilidad de facturar por servicios profesionales</w:t>
      </w:r>
    </w:p>
    <w:p w:rsidR="00000000" w:rsidDel="00000000" w:rsidP="00000000" w:rsidRDefault="00000000" w:rsidRPr="00000000" w14:paraId="00000011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Plazo</w:t>
      </w:r>
    </w:p>
    <w:p w:rsidR="00000000" w:rsidDel="00000000" w:rsidP="00000000" w:rsidRDefault="00000000" w:rsidRPr="00000000" w14:paraId="00000013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La consultoría por servicios de formación tendrá una duración del 05 de abril al 05 de mayo de 2024. </w:t>
      </w:r>
    </w:p>
    <w:p w:rsidR="00000000" w:rsidDel="00000000" w:rsidP="00000000" w:rsidRDefault="00000000" w:rsidRPr="00000000" w14:paraId="0000001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Presupuesto</w:t>
      </w:r>
    </w:p>
    <w:p w:rsidR="00000000" w:rsidDel="00000000" w:rsidP="00000000" w:rsidRDefault="00000000" w:rsidRPr="00000000" w14:paraId="00000015">
      <w:pPr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 ofertar. Se realizarán dos pagos, uno al inicio de la auditoría (50%) y otro al entregar el producto final (50% restantes).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Productos para entregar: </w:t>
      </w:r>
    </w:p>
    <w:p w:rsidR="00000000" w:rsidDel="00000000" w:rsidP="00000000" w:rsidRDefault="00000000" w:rsidRPr="00000000" w14:paraId="00000018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3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08"/>
        <w:gridCol w:w="5528"/>
        <w:gridCol w:w="2268"/>
        <w:tblGridChange w:id="0">
          <w:tblGrid>
            <w:gridCol w:w="1408"/>
            <w:gridCol w:w="5528"/>
            <w:gridCol w:w="2268"/>
          </w:tblGrid>
        </w:tblGridChange>
      </w:tblGrid>
      <w:tr>
        <w:trPr>
          <w:cantSplit w:val="0"/>
          <w:trHeight w:val="5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Número del producto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Concepto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Fecha de entrega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Cronograma de actividades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 días después de adjudicada la auditoría.</w:t>
            </w:r>
          </w:p>
        </w:tc>
      </w:tr>
      <w:tr>
        <w:trPr>
          <w:cantSplit w:val="0"/>
          <w:trHeight w:val="20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120" w:lineRule="auto"/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Informe preliminar para el equipo de administración: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A ser discutido con equipo de administración-financiero, previo a ser presentado a Junta Directiva. Esta etapa busca discutir pruebas de descargo en algún hallazgo.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Se acordará con auditor.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120" w:lineRule="auto"/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Informe del auditor: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Dictamen de auditoría sobre la razonabilidad de los saldos en los estados financieros según las normas internacionales de auditoría.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Se acordará con auditor.</w:t>
            </w:r>
          </w:p>
        </w:tc>
      </w:tr>
      <w:tr>
        <w:trPr>
          <w:cantSplit w:val="0"/>
          <w:trHeight w:val="34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120" w:lineRule="auto"/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Carta a la gerencia/dirección: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Que contenga las recomendaciones para mejorar las deficiencias detectadas en el cumplimiento y controles contables y fiscales y que se puedan abordar inmediatamente. Informar a la dirección y a junta directiva sobre potenciales riesgos o áreas de mejora identificadas durante la auditoría que puedan tener una repercusión significativa en el ejecución presupuestaria o cumplimiento de obligaciones fiscales.</w:t>
            </w:r>
          </w:p>
          <w:p w:rsidR="00000000" w:rsidDel="00000000" w:rsidP="00000000" w:rsidRDefault="00000000" w:rsidRPr="00000000" w14:paraId="00000027">
            <w:pPr>
              <w:spacing w:after="120" w:lineRule="auto"/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Se acordará con auditor.</w:t>
            </w:r>
          </w:p>
        </w:tc>
      </w:tr>
    </w:tbl>
    <w:p w:rsidR="00000000" w:rsidDel="00000000" w:rsidP="00000000" w:rsidRDefault="00000000" w:rsidRPr="00000000" w14:paraId="0000002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Información para realizar contrato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Tipo de contrato: Servicios técnicos por servicios facturados.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estimada de inicio de asistencia técnica: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05-abril-26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estimada de finalización de asistencia técnica: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05-mayo-26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firma de contrato debe presentarse: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del Auditor responsable.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line="240" w:lineRule="auto"/>
        <w:ind w:left="144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Copia simple de DPI para profesional.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Certificado del Registro Nacional de Agresores Sexuales -RENAS.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Constancia de colegiado activo.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Nombramiento y razón de inscripción del Representante Legal, si es una persona jurídica.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simple del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dirigida al Coordinador Financiero-Administrativo indicando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su número de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cuenta bancaria para recibir el pago,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o si queriendo pago por medio de cheque.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Consideraciones especiales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Entrega: Todos los productos deben ser entregados en la fecha acordada en el contrato correspondiente.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Coordinación: Los productos serán revisados y aprobados por Visibles, para lo cual se considerará un plazo prudente de respuesta, y pueden requerir mejoras específicas previo a dar la aprobación final. Esta comunicación deberá realizarse por escrito para garantizar la trazabilidad de los procesos.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Demora: Si surge una demora en la entrega de los productos deberá entregarse una justificación escrita y firmada.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Propiedad intelectual: los derechos de la propiedad intelectual de los documentos y productos entregados pertenecen exclusivamente a Visibles, por lo tanto, estará en total libertad de utilizarlo de la forma y formatos que considere oportuno.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Otras consideraciones: La persona consultora deberá estar dispuesta a realizar cambios y ajustes solicitados por el equipo de Visibles, después de recibidos y revisados los productos finales.</w:t>
      </w:r>
    </w:p>
    <w:p w:rsidR="00000000" w:rsidDel="00000000" w:rsidP="00000000" w:rsidRDefault="00000000" w:rsidRPr="00000000" w14:paraId="0000003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Facturación:</w:t>
      </w:r>
    </w:p>
    <w:p w:rsidR="00000000" w:rsidDel="00000000" w:rsidP="00000000" w:rsidRDefault="00000000" w:rsidRPr="00000000" w14:paraId="0000003D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Para poder recibir el pago, la persona consultora deberá presentar la factura correspondiente por el monto asignado a cada producto. También se deberá adjuntar el producto correspondiente. La factura deberá ser emitida con los siguientes datos:</w:t>
      </w:r>
    </w:p>
    <w:p w:rsidR="00000000" w:rsidDel="00000000" w:rsidP="00000000" w:rsidRDefault="00000000" w:rsidRPr="00000000" w14:paraId="0000003E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 xml:space="preserve">Nombre: Visibles, ONG. </w:t>
      </w:r>
    </w:p>
    <w:p w:rsidR="00000000" w:rsidDel="00000000" w:rsidP="00000000" w:rsidRDefault="00000000" w:rsidRPr="00000000" w14:paraId="0000003F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 xml:space="preserve">NIT: 101955073</w:t>
      </w:r>
    </w:p>
    <w:p w:rsidR="00000000" w:rsidDel="00000000" w:rsidP="00000000" w:rsidRDefault="00000000" w:rsidRPr="00000000" w14:paraId="00000040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 xml:space="preserve">Dirección: Ciudad</w:t>
      </w:r>
    </w:p>
    <w:p w:rsidR="00000000" w:rsidDel="00000000" w:rsidP="00000000" w:rsidRDefault="00000000" w:rsidRPr="00000000" w14:paraId="00000041">
      <w:pPr>
        <w:jc w:val="both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 xml:space="preserve">Concepto: 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Auditoría Institucional del periodo fiscal 2023 primer pago del 50%.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2"/>
          <w:szCs w:val="32"/>
          <w:rtl w:val="0"/>
        </w:rPr>
        <w:t xml:space="preserve">C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ontactos:</w:t>
      </w:r>
    </w:p>
    <w:p w:rsidR="00000000" w:rsidDel="00000000" w:rsidP="00000000" w:rsidRDefault="00000000" w:rsidRPr="00000000" w14:paraId="00000042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6"/>
        <w:gridCol w:w="3006"/>
        <w:gridCol w:w="3007"/>
        <w:tblGridChange w:id="0">
          <w:tblGrid>
            <w:gridCol w:w="3006"/>
            <w:gridCol w:w="3006"/>
            <w:gridCol w:w="30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PUESTO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CORREO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Ana Lanz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Directora Ejecutiva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Century Gothic" w:cs="Century Gothic" w:eastAsia="Century Gothic" w:hAnsi="Century Gothic"/>
              </w:rPr>
            </w:pPr>
            <w:hyperlink r:id="rId7">
              <w:r w:rsidDel="00000000" w:rsidR="00000000" w:rsidRPr="00000000">
                <w:rPr>
                  <w:rFonts w:ascii="Century Gothic" w:cs="Century Gothic" w:eastAsia="Century Gothic" w:hAnsi="Century Gothic"/>
                  <w:color w:val="0000ff"/>
                  <w:u w:val="single"/>
                  <w:rtl w:val="0"/>
                </w:rPr>
                <w:t xml:space="preserve">ana@visibles.gt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Breyner Portillo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Coordinador Financiero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Century Gothic" w:cs="Century Gothic" w:eastAsia="Century Gothic" w:hAnsi="Century Gothic"/>
              </w:rPr>
            </w:pPr>
            <w:hyperlink r:id="rId8">
              <w:r w:rsidDel="00000000" w:rsidR="00000000" w:rsidRPr="00000000">
                <w:rPr>
                  <w:rFonts w:ascii="Century Gothic" w:cs="Century Gothic" w:eastAsia="Century Gothic" w:hAnsi="Century Gothic"/>
                  <w:color w:val="0000ff"/>
                  <w:u w:val="single"/>
                  <w:rtl w:val="0"/>
                </w:rPr>
                <w:t xml:space="preserve">breyner@visibles.gt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Presentación de ofertas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límite para presentar ofertas:  </w:t>
      </w:r>
      <w:r w:rsidDel="00000000" w:rsidR="00000000" w:rsidRPr="00000000">
        <w:rPr>
          <w:rFonts w:ascii="Century Gothic" w:cs="Century Gothic" w:eastAsia="Century Gothic" w:hAnsi="Century Gothic"/>
          <w:highlight w:val="white"/>
          <w:rtl w:val="0"/>
        </w:rPr>
        <w:t xml:space="preserve">22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</w:t>
      </w:r>
      <w:r w:rsidDel="00000000" w:rsidR="00000000" w:rsidRPr="00000000">
        <w:rPr>
          <w:rFonts w:ascii="Century Gothic" w:cs="Century Gothic" w:eastAsia="Century Gothic" w:hAnsi="Century Gothic"/>
          <w:highlight w:val="white"/>
          <w:rtl w:val="0"/>
        </w:rPr>
        <w:t xml:space="preserve">abril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-202</w:t>
      </w:r>
      <w:r w:rsidDel="00000000" w:rsidR="00000000" w:rsidRPr="00000000">
        <w:rPr>
          <w:rFonts w:ascii="Century Gothic" w:cs="Century Gothic" w:eastAsia="Century Gothic" w:hAnsi="Century Gothic"/>
          <w:highlight w:val="whit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ofertas deben ser enviadas a los correos de los contactos arriba indicados, con carta de presentación, oferta económica y CV de la o el auditor responsable.</w:t>
      </w:r>
    </w:p>
    <w:p w:rsidR="00000000" w:rsidDel="00000000" w:rsidP="00000000" w:rsidRDefault="00000000" w:rsidRPr="00000000" w14:paraId="00000050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039775" cy="62822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9775" cy="6282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851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7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9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1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3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5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7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9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11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rrafodelista">
    <w:name w:val="List Paragraph"/>
    <w:aliases w:val="titulo 5,References,Paragraphe de liste1,List Paragraph1,Liste couleur - Accent 11,Paragraph,Header 2,Head1.1,Liste couleur - Accent 111,Paragraphe de liste3,List Paragraph2,Bullets,List Paragraph nowy,Numbered List Paragraph,titre_kely"/>
    <w:basedOn w:val="Normal"/>
    <w:link w:val="PrrafodelistaCar"/>
    <w:uiPriority w:val="34"/>
    <w:qFormat w:val="1"/>
    <w:rsid w:val="00483DB1"/>
    <w:pPr>
      <w:spacing w:line="240" w:lineRule="auto"/>
      <w:ind w:left="720"/>
      <w:contextualSpacing w:val="1"/>
      <w:jc w:val="both"/>
    </w:pPr>
    <w:rPr>
      <w:rFonts w:ascii="Avenir Book" w:hAnsi="Avenir Book" w:cstheme="minorBidi" w:eastAsiaTheme="minorEastAsia"/>
      <w:szCs w:val="24"/>
      <w:lang w:eastAsia="en-US" w:val="en-US"/>
    </w:rPr>
  </w:style>
  <w:style w:type="character" w:styleId="PrrafodelistaCar" w:customStyle="1">
    <w:name w:val="Párrafo de lista Car"/>
    <w:aliases w:val="titulo 5 Car,References Car,Paragraphe de liste1 Car,List Paragraph1 Car,Liste couleur - Accent 11 Car,Paragraph Car,Header 2 Car,Head1.1 Car,Liste couleur - Accent 111 Car,Paragraphe de liste3 Car,List Paragraph2 Car,Bullets Car"/>
    <w:basedOn w:val="Fuentedeprrafopredeter"/>
    <w:link w:val="Prrafodelista"/>
    <w:uiPriority w:val="34"/>
    <w:qFormat w:val="1"/>
    <w:locked w:val="1"/>
    <w:rsid w:val="00483DB1"/>
    <w:rPr>
      <w:rFonts w:ascii="Avenir Book" w:hAnsi="Avenir Book" w:cstheme="minorBidi" w:eastAsiaTheme="minorEastAsia"/>
      <w:szCs w:val="24"/>
      <w:lang w:eastAsia="en-US" w:val="en-US"/>
    </w:rPr>
  </w:style>
  <w:style w:type="table" w:styleId="Tablaconcuadrcula">
    <w:name w:val="Table Grid"/>
    <w:basedOn w:val="Tablanormal"/>
    <w:uiPriority w:val="39"/>
    <w:rsid w:val="00B02BE6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B02BE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B02BE6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na@visibles.gt" TargetMode="External"/><Relationship Id="rId8" Type="http://schemas.openxmlformats.org/officeDocument/2006/relationships/hyperlink" Target="mailto:breyner@visibles.g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PkkjY9Geo4Z5CJMNLiAdmbPUtA==">CgMxLjAyCGguZ2pkZ3hzOAByITEzclEzZTdrRHlvOG9XaVgwMnFVbDlKeTVCM3NvV3UzMw==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2024-03-20T16:50:00Z</dcterms:created>
</cp:coreProperties>
</file>